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8F" w:rsidRPr="000B5EE2" w:rsidRDefault="00C267C2" w:rsidP="000B5EE2">
      <w:pPr>
        <w:spacing w:line="240" w:lineRule="auto"/>
        <w:jc w:val="center"/>
        <w:rPr>
          <w:b/>
          <w:sz w:val="24"/>
          <w:szCs w:val="24"/>
        </w:rPr>
      </w:pPr>
      <w:r w:rsidRPr="000B5EE2">
        <w:rPr>
          <w:b/>
          <w:sz w:val="24"/>
          <w:szCs w:val="24"/>
        </w:rPr>
        <w:t>INSTRUCTIVO PARA</w:t>
      </w:r>
      <w:r w:rsidR="00146B50">
        <w:rPr>
          <w:b/>
          <w:sz w:val="24"/>
          <w:szCs w:val="24"/>
        </w:rPr>
        <w:t xml:space="preserve"> LA CONFECCIÓN Y PRESENTACIÓ</w:t>
      </w:r>
      <w:r w:rsidRPr="000B5EE2">
        <w:rPr>
          <w:b/>
          <w:sz w:val="24"/>
          <w:szCs w:val="24"/>
        </w:rPr>
        <w:t xml:space="preserve">N </w:t>
      </w:r>
      <w:r w:rsidR="00146B50">
        <w:rPr>
          <w:b/>
          <w:sz w:val="24"/>
          <w:szCs w:val="24"/>
        </w:rPr>
        <w:t>D</w:t>
      </w:r>
      <w:r w:rsidRPr="000B5EE2">
        <w:rPr>
          <w:b/>
          <w:sz w:val="24"/>
          <w:szCs w:val="24"/>
        </w:rPr>
        <w:t>EL PROGR</w:t>
      </w:r>
      <w:r w:rsidR="00146B50">
        <w:rPr>
          <w:b/>
          <w:sz w:val="24"/>
          <w:szCs w:val="24"/>
        </w:rPr>
        <w:t>AMA D</w:t>
      </w:r>
      <w:bookmarkStart w:id="0" w:name="_GoBack"/>
      <w:bookmarkEnd w:id="0"/>
      <w:r w:rsidR="00146B50">
        <w:rPr>
          <w:b/>
          <w:sz w:val="24"/>
          <w:szCs w:val="24"/>
        </w:rPr>
        <w:t>E EVALUACIÓN Y CERTIFICACIÓ</w:t>
      </w:r>
      <w:r w:rsidRPr="000B5EE2">
        <w:rPr>
          <w:b/>
          <w:sz w:val="24"/>
          <w:szCs w:val="24"/>
        </w:rPr>
        <w:t xml:space="preserve">N DE </w:t>
      </w:r>
      <w:r w:rsidR="008F2669">
        <w:rPr>
          <w:b/>
          <w:sz w:val="24"/>
          <w:szCs w:val="24"/>
        </w:rPr>
        <w:t>COMPETENCIAS LABORALES POR LOS</w:t>
      </w:r>
      <w:r w:rsidR="00146B50">
        <w:rPr>
          <w:b/>
          <w:sz w:val="24"/>
          <w:szCs w:val="24"/>
        </w:rPr>
        <w:t xml:space="preserve"> COMITÉ</w:t>
      </w:r>
      <w:r w:rsidRPr="000B5EE2">
        <w:rPr>
          <w:b/>
          <w:sz w:val="24"/>
          <w:szCs w:val="24"/>
        </w:rPr>
        <w:t>S BIPARTITOS</w:t>
      </w:r>
      <w:r w:rsidR="008F2669">
        <w:rPr>
          <w:b/>
          <w:sz w:val="24"/>
          <w:szCs w:val="24"/>
        </w:rPr>
        <w:t xml:space="preserve"> DE CAPACITACIÓN</w:t>
      </w:r>
    </w:p>
    <w:p w:rsidR="00C267C2" w:rsidRDefault="00C267C2" w:rsidP="0047079D">
      <w:pPr>
        <w:spacing w:line="240" w:lineRule="auto"/>
        <w:jc w:val="both"/>
      </w:pPr>
      <w:r>
        <w:t xml:space="preserve">El presente instructivo tiene por finalidad entregar las normas técnicas en cuanto a la confección y presentación del </w:t>
      </w:r>
      <w:r w:rsidR="0058677A" w:rsidRPr="00003A0F">
        <w:t>programa</w:t>
      </w:r>
      <w:r w:rsidRPr="00003A0F">
        <w:t xml:space="preserve"> de </w:t>
      </w:r>
      <w:r w:rsidR="00470C93" w:rsidRPr="00003A0F">
        <w:t>evaluación</w:t>
      </w:r>
      <w:r w:rsidR="00A0190B" w:rsidRPr="00003A0F">
        <w:t xml:space="preserve"> y certificación de competencias laborales</w:t>
      </w:r>
      <w:r w:rsidR="00470C93" w:rsidRPr="00003A0F">
        <w:t xml:space="preserve"> </w:t>
      </w:r>
      <w:r w:rsidR="00A0190B" w:rsidRPr="00003A0F">
        <w:t>efectuado</w:t>
      </w:r>
      <w:r w:rsidRPr="00003A0F">
        <w:t xml:space="preserve"> con acuerdo del Comité Bipartito</w:t>
      </w:r>
      <w:r w:rsidR="00A13C7C" w:rsidRPr="00003A0F">
        <w:t xml:space="preserve"> de Capacitación</w:t>
      </w:r>
      <w:r w:rsidRPr="00003A0F">
        <w:t xml:space="preserve">, que </w:t>
      </w:r>
      <w:r>
        <w:t>toda empresa con más de 15 trabajadores contratados está obligada por Ley a con</w:t>
      </w:r>
      <w:r w:rsidR="00E035DD">
        <w:t xml:space="preserve">stituir. Estas instrucciones </w:t>
      </w:r>
      <w:r w:rsidR="00191B9C">
        <w:t xml:space="preserve"> generales</w:t>
      </w:r>
      <w:r>
        <w:t xml:space="preserve"> serán aplica</w:t>
      </w:r>
      <w:r w:rsidR="00BB6D53">
        <w:t>bles</w:t>
      </w:r>
      <w:r w:rsidR="00E035DD">
        <w:t xml:space="preserve"> tanto</w:t>
      </w:r>
      <w:r>
        <w:t xml:space="preserve"> para aquellas empresas que comunica</w:t>
      </w:r>
      <w:r w:rsidR="00BB6D53">
        <w:t>n</w:t>
      </w:r>
      <w:r>
        <w:t xml:space="preserve"> directamente en alguna plataforma de SENCE o por vía internet, como también para aquellas empresas que se encu</w:t>
      </w:r>
      <w:r w:rsidR="00191B9C">
        <w:t>entran adheridas a un OTIC. Por lo tanto</w:t>
      </w:r>
      <w:r>
        <w:t>, las em</w:t>
      </w:r>
      <w:r w:rsidR="00191B9C">
        <w:t>presas y los OTIC deberán ajustarse a</w:t>
      </w:r>
      <w:r>
        <w:t>l presente instructivo:</w:t>
      </w:r>
    </w:p>
    <w:p w:rsidR="00316C34" w:rsidRPr="000B5EE2" w:rsidRDefault="00316C34" w:rsidP="0047079D">
      <w:pPr>
        <w:spacing w:line="240" w:lineRule="auto"/>
        <w:jc w:val="both"/>
        <w:rPr>
          <w:b/>
        </w:rPr>
      </w:pPr>
      <w:r w:rsidRPr="000B5EE2">
        <w:rPr>
          <w:b/>
        </w:rPr>
        <w:t>A.1.</w:t>
      </w:r>
      <w:r w:rsidR="000B5EE2">
        <w:rPr>
          <w:b/>
        </w:rPr>
        <w:t>) De la confección del Programa</w:t>
      </w:r>
    </w:p>
    <w:p w:rsidR="00316C34" w:rsidRDefault="00316C34" w:rsidP="0047079D">
      <w:pPr>
        <w:spacing w:line="240" w:lineRule="auto"/>
        <w:jc w:val="both"/>
      </w:pPr>
      <w:r>
        <w:t>N°1</w:t>
      </w:r>
      <w:r>
        <w:tab/>
        <w:t xml:space="preserve">Cada Comité deberá reunirse a efecto de acordar el </w:t>
      </w:r>
      <w:r w:rsidR="00D123D9">
        <w:t>Programa</w:t>
      </w:r>
      <w:r>
        <w:t xml:space="preserve"> de Evaluación a lo menos una vez al año, no obstando que, se pueda reunir bime</w:t>
      </w:r>
      <w:r w:rsidR="00F5564A">
        <w:t>s</w:t>
      </w:r>
      <w:r>
        <w:t xml:space="preserve">tral, trimestral, cuatrimestral o semestralmente, confeccionando así un </w:t>
      </w:r>
      <w:r w:rsidR="00D123D9">
        <w:t>programa</w:t>
      </w:r>
      <w:r>
        <w:t xml:space="preserve"> anual, o por cada periodo que se reúna.</w:t>
      </w:r>
    </w:p>
    <w:p w:rsidR="00316C34" w:rsidRPr="00003A0F" w:rsidRDefault="00316C34" w:rsidP="0047079D">
      <w:pPr>
        <w:spacing w:line="240" w:lineRule="auto"/>
        <w:jc w:val="both"/>
      </w:pPr>
      <w:r w:rsidRPr="00003A0F">
        <w:t>N°2</w:t>
      </w:r>
      <w:r w:rsidRPr="00003A0F">
        <w:tab/>
        <w:t>Sostenida la reunión, ésta deberá quedar en</w:t>
      </w:r>
      <w:r w:rsidR="00191B9C" w:rsidRPr="00003A0F">
        <w:t xml:space="preserve"> un</w:t>
      </w:r>
      <w:r w:rsidRPr="00003A0F">
        <w:t xml:space="preserve"> acta confeccionada al efecto, y se procederá a la redacción del Programa de Evaluación</w:t>
      </w:r>
      <w:r w:rsidR="00E93ED5" w:rsidRPr="00003A0F">
        <w:t xml:space="preserve"> y Certificación de Competencias Laborales</w:t>
      </w:r>
      <w:r w:rsidRPr="00003A0F">
        <w:t>, respetando la planilla adjunta en el Anexo A.</w:t>
      </w:r>
    </w:p>
    <w:p w:rsidR="00F5564A" w:rsidRPr="001474AE" w:rsidRDefault="00F5564A" w:rsidP="0047079D">
      <w:pPr>
        <w:spacing w:line="240" w:lineRule="auto"/>
        <w:jc w:val="both"/>
        <w:rPr>
          <w:b/>
        </w:rPr>
      </w:pPr>
      <w:r w:rsidRPr="001474AE">
        <w:rPr>
          <w:b/>
        </w:rPr>
        <w:t>A.2.) Del llenado de la planilla tipo del Programa</w:t>
      </w:r>
    </w:p>
    <w:p w:rsidR="00F5564A" w:rsidRDefault="00F5564A" w:rsidP="0047079D">
      <w:pPr>
        <w:spacing w:line="240" w:lineRule="auto"/>
        <w:jc w:val="both"/>
      </w:pPr>
      <w:r>
        <w:t>N°3</w:t>
      </w:r>
      <w:r>
        <w:tab/>
        <w:t>La planilla deberá contener información base sobre la empresa que presenta el programa.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Razón social de la empresa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R.U.T.  de la empresa</w:t>
      </w:r>
    </w:p>
    <w:p w:rsidR="00F5564A" w:rsidRDefault="00002C20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Nombre </w:t>
      </w:r>
      <w:r w:rsidR="00F5564A">
        <w:t>Representante Legal</w:t>
      </w:r>
    </w:p>
    <w:p w:rsidR="00002C20" w:rsidRDefault="00002C20" w:rsidP="00002C2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R.U.T. Representante Legal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Domicilio comercial</w:t>
      </w:r>
      <w:r w:rsidR="00002C20">
        <w:t xml:space="preserve"> de la empresa</w:t>
      </w:r>
    </w:p>
    <w:p w:rsidR="00002C20" w:rsidRDefault="00002C20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E-Mail de la empresa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Teléfono</w:t>
      </w:r>
      <w:r w:rsidR="00002C20">
        <w:t xml:space="preserve"> (s)</w:t>
      </w:r>
    </w:p>
    <w:p w:rsidR="00F5564A" w:rsidRDefault="00002C20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Nombre de </w:t>
      </w:r>
      <w:r w:rsidR="00F5564A">
        <w:t>Contacto</w:t>
      </w:r>
      <w:r>
        <w:t xml:space="preserve"> de empresa</w:t>
      </w:r>
    </w:p>
    <w:p w:rsidR="00F5564A" w:rsidRDefault="00002C20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E-Mail de contacto de la empresa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Nombre de OTIC (solo en caso que la empresa se encuentre adherida a uno).</w:t>
      </w:r>
    </w:p>
    <w:p w:rsidR="00002C20" w:rsidRDefault="00002C20" w:rsidP="00002C2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Lapso de tiempo a que corresponderá dicho programa (anual, semestral, trimestral, etc.)</w:t>
      </w:r>
    </w:p>
    <w:p w:rsidR="00F5564A" w:rsidRDefault="00F5564A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Fecha del Acuerdo</w:t>
      </w:r>
    </w:p>
    <w:p w:rsidR="00002C20" w:rsidRDefault="00002C20" w:rsidP="001221D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Fecha de Vigencia del programa</w:t>
      </w:r>
    </w:p>
    <w:p w:rsidR="001221DB" w:rsidRDefault="001221DB" w:rsidP="001221DB">
      <w:pPr>
        <w:spacing w:after="0" w:line="240" w:lineRule="auto"/>
        <w:jc w:val="both"/>
      </w:pPr>
    </w:p>
    <w:p w:rsidR="0047079D" w:rsidRDefault="0047079D" w:rsidP="0047079D">
      <w:pPr>
        <w:spacing w:line="240" w:lineRule="auto"/>
        <w:jc w:val="both"/>
      </w:pPr>
      <w:r>
        <w:t>N°4</w:t>
      </w:r>
      <w:r>
        <w:tab/>
        <w:t xml:space="preserve">Se deberá además incluir el o los objetivos que se esperan lograr con la evaluación de los trabajadores, financiada con cargo a la franquicia tributaria de la empresa. El cumplimiento de un objetivo podrá estar asociado a una o más evaluaciones, por lo que un mismo objetivo puede vincularse a más de un sector y área de empresa. </w:t>
      </w:r>
      <w:r w:rsidRPr="004A4679">
        <w:rPr>
          <w:i/>
        </w:rPr>
        <w:t>Por ejemplo, si el objetivo es organizar una correcta inducción a los procesos de la empresa, éste se puede vincular con los sectores de evaluación Agrícola y Comunicaciones</w:t>
      </w:r>
      <w:r w:rsidR="004A4679" w:rsidRPr="004A4679">
        <w:rPr>
          <w:i/>
        </w:rPr>
        <w:t>, y para las áreas de ventas y finanzas.</w:t>
      </w:r>
    </w:p>
    <w:p w:rsidR="004A4679" w:rsidRDefault="004A4679" w:rsidP="0047079D">
      <w:pPr>
        <w:spacing w:line="240" w:lineRule="auto"/>
        <w:jc w:val="both"/>
      </w:pPr>
      <w:r>
        <w:lastRenderedPageBreak/>
        <w:t>N°5</w:t>
      </w:r>
      <w:r>
        <w:tab/>
      </w:r>
      <w:r w:rsidR="00E73DEB">
        <w:t>Se deberá indicar el área de la empresa para la cual se desarrollarán actividades de evaluación y certificación de competencias laborales.</w:t>
      </w:r>
    </w:p>
    <w:p w:rsidR="00E73DEB" w:rsidRDefault="00E73DEB" w:rsidP="0047079D">
      <w:pPr>
        <w:spacing w:line="240" w:lineRule="auto"/>
        <w:jc w:val="both"/>
      </w:pPr>
      <w:r>
        <w:t>N°6</w:t>
      </w:r>
      <w:r w:rsidR="00DF6755">
        <w:tab/>
        <w:t xml:space="preserve">En dicha planilla, se deberá ingresar, el sector de la o las evaluaciones que se pretende llevar a cabo. Cabe aclarar que en un sector se puede vincular a más de una evaluación. Para estos efectos, la empresa deberá indicar el código </w:t>
      </w:r>
      <w:r w:rsidR="0068342D">
        <w:t>y nombre de</w:t>
      </w:r>
      <w:r w:rsidR="00DF6755">
        <w:t xml:space="preserve"> cada </w:t>
      </w:r>
      <w:r w:rsidR="009D703D">
        <w:t>subsector</w:t>
      </w:r>
      <w:r w:rsidR="00DF6755">
        <w:t xml:space="preserve"> asociado a cada sector de evaluación</w:t>
      </w:r>
      <w:r w:rsidR="00746DD0">
        <w:t xml:space="preserve">, según las categorías definidas por </w:t>
      </w:r>
      <w:r w:rsidR="00002C20">
        <w:t xml:space="preserve">el catálogo de </w:t>
      </w:r>
      <w:r w:rsidR="00746DD0">
        <w:t>CHILEVALORA, en Anexo B adjunto.</w:t>
      </w:r>
    </w:p>
    <w:p w:rsidR="0068342D" w:rsidRDefault="0068342D" w:rsidP="0047079D">
      <w:pPr>
        <w:spacing w:line="240" w:lineRule="auto"/>
        <w:jc w:val="both"/>
      </w:pPr>
      <w:r>
        <w:t>N°7</w:t>
      </w:r>
      <w:r>
        <w:tab/>
        <w:t>Se deberá indicar el número estimado de los candidatos asociados a cada uno de los sectores de evaluación a desarrollar, se</w:t>
      </w:r>
      <w:r w:rsidR="000D4475">
        <w:t>gún los objetivos que se espera</w:t>
      </w:r>
      <w:r>
        <w:t xml:space="preserve"> cumplir. Si en un sector o </w:t>
      </w:r>
      <w:r w:rsidR="009D703D">
        <w:t>subsector</w:t>
      </w:r>
      <w:r>
        <w:t xml:space="preserve"> se llevará a </w:t>
      </w:r>
      <w:r w:rsidR="009D703D">
        <w:t>cabo más de una evaluación, deberá</w:t>
      </w:r>
      <w:r>
        <w:t xml:space="preserve"> realizarse una estimación por el total de los candidatos vi</w:t>
      </w:r>
      <w:r w:rsidR="00521306">
        <w:t>nculados a todas las evaluaciones.</w:t>
      </w:r>
    </w:p>
    <w:p w:rsidR="00616846" w:rsidRDefault="00616846" w:rsidP="0047079D">
      <w:pPr>
        <w:spacing w:line="240" w:lineRule="auto"/>
        <w:jc w:val="both"/>
      </w:pPr>
      <w:r>
        <w:t>N°8</w:t>
      </w:r>
      <w:r>
        <w:tab/>
        <w:t>Se deberá</w:t>
      </w:r>
      <w:r w:rsidR="009D703D">
        <w:t>n</w:t>
      </w:r>
      <w:r>
        <w:t xml:space="preserve"> indicar las características del o los candidatos asociados a cada sector y </w:t>
      </w:r>
      <w:r w:rsidR="00CF0D47">
        <w:t>subsector</w:t>
      </w:r>
      <w:r>
        <w:t xml:space="preserve"> de evaluación a desarrollar, se</w:t>
      </w:r>
      <w:r w:rsidR="007E74E8">
        <w:t>gún los objetivos que se espera</w:t>
      </w:r>
      <w:r>
        <w:t xml:space="preserve"> cumplir. Se debe</w:t>
      </w:r>
      <w:r w:rsidR="007E74E8">
        <w:t>rá</w:t>
      </w:r>
      <w:r>
        <w:t xml:space="preserve"> indicar el nivel ocupacional de los </w:t>
      </w:r>
      <w:r w:rsidR="00075A1C">
        <w:t>trabajadores</w:t>
      </w:r>
      <w:r w:rsidR="005233BC">
        <w:t xml:space="preserve"> </w:t>
      </w:r>
      <w:r>
        <w:t xml:space="preserve">e ingresar el </w:t>
      </w:r>
      <w:r w:rsidR="00075A1C">
        <w:t>ID</w:t>
      </w:r>
      <w:r>
        <w:t xml:space="preserve"> en función de la siguiente tabla:</w:t>
      </w:r>
    </w:p>
    <w:tbl>
      <w:tblPr>
        <w:tblW w:w="3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37"/>
      </w:tblGrid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ID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NIVEL OCUPACIONAL TRABAJADOR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Profesionales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Mandos Medios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Administrativos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Trabajador Calificado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Trabajador Semi Calificado</w:t>
            </w:r>
          </w:p>
        </w:tc>
      </w:tr>
      <w:tr w:rsidR="00A50424" w:rsidRPr="00A50424" w:rsidTr="00A50424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24" w:rsidRPr="00A50424" w:rsidRDefault="00A50424" w:rsidP="00A5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5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Trabajador No Calificado</w:t>
            </w:r>
          </w:p>
        </w:tc>
      </w:tr>
    </w:tbl>
    <w:p w:rsidR="00BA4230" w:rsidRDefault="00BA4230" w:rsidP="0047079D">
      <w:pPr>
        <w:spacing w:line="240" w:lineRule="auto"/>
        <w:jc w:val="both"/>
      </w:pPr>
    </w:p>
    <w:p w:rsidR="00BA4230" w:rsidRDefault="00BA4230" w:rsidP="0047079D">
      <w:pPr>
        <w:spacing w:line="240" w:lineRule="auto"/>
        <w:jc w:val="both"/>
      </w:pPr>
      <w:r>
        <w:t>N°9</w:t>
      </w:r>
      <w:r>
        <w:tab/>
        <w:t xml:space="preserve">El Comité deberá indicar el o los periodos </w:t>
      </w:r>
      <w:r w:rsidR="007E74E8">
        <w:t>durante los cuales se efectuarán</w:t>
      </w:r>
      <w:r>
        <w:t xml:space="preserve"> las evaluaciones.</w:t>
      </w:r>
    </w:p>
    <w:p w:rsidR="00BA4230" w:rsidRDefault="00BA4230" w:rsidP="0047079D">
      <w:pPr>
        <w:spacing w:line="240" w:lineRule="auto"/>
        <w:jc w:val="both"/>
      </w:pPr>
      <w:r>
        <w:t>N°10</w:t>
      </w:r>
      <w:r>
        <w:tab/>
      </w:r>
      <w:r w:rsidR="00E919B4">
        <w:t>El Comité podrá agregar en la columna de observaciones de la planilla, comentarios que especifiquen alguna situación que requiera mayor detalle.</w:t>
      </w:r>
    </w:p>
    <w:p w:rsidR="001346E2" w:rsidRDefault="001346E2" w:rsidP="0047079D">
      <w:pPr>
        <w:spacing w:line="240" w:lineRule="auto"/>
        <w:jc w:val="both"/>
      </w:pPr>
      <w:r>
        <w:t>N°11</w:t>
      </w:r>
      <w:r>
        <w:tab/>
        <w:t>Se informa</w:t>
      </w:r>
      <w:r w:rsidR="00521581">
        <w:t>rá</w:t>
      </w:r>
      <w:r>
        <w:t xml:space="preserve"> la dotación anual de trabajadores, correspondiente al año anterior.</w:t>
      </w:r>
    </w:p>
    <w:p w:rsidR="001346E2" w:rsidRDefault="001346E2" w:rsidP="0047079D">
      <w:pPr>
        <w:spacing w:line="240" w:lineRule="auto"/>
        <w:jc w:val="both"/>
      </w:pPr>
      <w:r>
        <w:t>N°12</w:t>
      </w:r>
      <w:r>
        <w:tab/>
      </w:r>
      <w:r w:rsidR="009751A0">
        <w:t>El programa deberá contar con el nombre</w:t>
      </w:r>
      <w:r w:rsidR="008A5ECB">
        <w:t>, RUT</w:t>
      </w:r>
      <w:r w:rsidR="009751A0">
        <w:t xml:space="preserve"> y firma de a lo menos dos representantes por cada estamento, es decir, deberá contener a lo menos el nombre</w:t>
      </w:r>
      <w:r w:rsidR="008D25CC">
        <w:t>, RUT</w:t>
      </w:r>
      <w:r w:rsidR="009751A0">
        <w:t xml:space="preserve"> y firma de dos representantes de los trabajadores y dos representantes de la empresa elegido</w:t>
      </w:r>
      <w:r w:rsidR="008D25CC">
        <w:t>s</w:t>
      </w:r>
      <w:r w:rsidR="009751A0">
        <w:t xml:space="preserve"> con antelación a la discusión y acuerdo del </w:t>
      </w:r>
      <w:r w:rsidR="00D123D9">
        <w:t>programa</w:t>
      </w:r>
      <w:r w:rsidR="008D25CC">
        <w:t xml:space="preserve"> de evaluación y certificación de competencias.</w:t>
      </w:r>
    </w:p>
    <w:p w:rsidR="004C7D04" w:rsidRDefault="004C7D04" w:rsidP="0047079D">
      <w:pPr>
        <w:spacing w:line="240" w:lineRule="auto"/>
        <w:jc w:val="both"/>
      </w:pPr>
      <w:r>
        <w:t>N°13</w:t>
      </w:r>
      <w:r>
        <w:tab/>
        <w:t>El programa no p</w:t>
      </w:r>
      <w:r w:rsidR="002D3E27">
        <w:t>odrá tener una duración</w:t>
      </w:r>
      <w:r>
        <w:t xml:space="preserve"> que exceda el año calendario. Por lo tanto, al comienzo de un año, todas las empresas deberán presentar un nuevo programa que incluya las evaluaciones a desarrollar, siendo invalidado el programa del año anterior.</w:t>
      </w:r>
    </w:p>
    <w:p w:rsidR="00BA513C" w:rsidRPr="00075A1C" w:rsidRDefault="00BA513C" w:rsidP="0047079D">
      <w:pPr>
        <w:spacing w:line="240" w:lineRule="auto"/>
        <w:jc w:val="both"/>
        <w:rPr>
          <w:b/>
        </w:rPr>
      </w:pPr>
      <w:r w:rsidRPr="00075A1C">
        <w:rPr>
          <w:b/>
        </w:rPr>
        <w:t xml:space="preserve">B) De la presentación del programa en </w:t>
      </w:r>
      <w:r w:rsidR="009A43DD">
        <w:rPr>
          <w:b/>
        </w:rPr>
        <w:t>SENCE</w:t>
      </w:r>
    </w:p>
    <w:p w:rsidR="00BA513C" w:rsidRDefault="00821D4B" w:rsidP="0047079D">
      <w:pPr>
        <w:spacing w:line="240" w:lineRule="auto"/>
        <w:jc w:val="both"/>
      </w:pPr>
      <w:r>
        <w:t>N°14</w:t>
      </w:r>
      <w:r>
        <w:tab/>
        <w:t>Una v</w:t>
      </w:r>
      <w:r w:rsidR="00BA513C">
        <w:t xml:space="preserve">ez acordado el </w:t>
      </w:r>
      <w:r w:rsidR="00D123D9">
        <w:t>programa</w:t>
      </w:r>
      <w:r w:rsidR="00BA513C">
        <w:t xml:space="preserve">, impreso y firmado, éste deberá ser presentado en </w:t>
      </w:r>
      <w:r w:rsidR="009A43DD">
        <w:t xml:space="preserve">SENCE a través de la plataforma web que el Servicio puso a disposición de las empresas y </w:t>
      </w:r>
      <w:proofErr w:type="spellStart"/>
      <w:r w:rsidR="009A43DD">
        <w:t>OTICs</w:t>
      </w:r>
      <w:proofErr w:type="spellEnd"/>
      <w:r w:rsidR="009A43DD">
        <w:t xml:space="preserve"> usuarias.</w:t>
      </w:r>
    </w:p>
    <w:p w:rsidR="009A43DD" w:rsidRDefault="009A43DD" w:rsidP="009A43DD">
      <w:pPr>
        <w:jc w:val="both"/>
      </w:pPr>
      <w:r>
        <w:lastRenderedPageBreak/>
        <w:t xml:space="preserve">La Empresa deberá </w:t>
      </w:r>
      <w:r>
        <w:t>subir</w:t>
      </w:r>
      <w:r>
        <w:t xml:space="preserve"> al sistema </w:t>
      </w:r>
      <w:r>
        <w:t xml:space="preserve">en formato PDF </w:t>
      </w:r>
      <w:r>
        <w:t xml:space="preserve">el Acta de Constitución y </w:t>
      </w:r>
      <w:r>
        <w:t xml:space="preserve">el o </w:t>
      </w:r>
      <w:r>
        <w:t xml:space="preserve">los Programas </w:t>
      </w:r>
      <w:r>
        <w:t>de Evaluación y Certificación de Competencias Laborales (</w:t>
      </w:r>
      <w:proofErr w:type="spellStart"/>
      <w:r>
        <w:t>EyCCL</w:t>
      </w:r>
      <w:proofErr w:type="spellEnd"/>
      <w:r>
        <w:t>)</w:t>
      </w:r>
      <w:r>
        <w:t xml:space="preserve"> asociados.</w:t>
      </w:r>
    </w:p>
    <w:p w:rsidR="009A43DD" w:rsidRDefault="009A43DD" w:rsidP="009A43DD">
      <w:pPr>
        <w:jc w:val="both"/>
      </w:pPr>
      <w:r>
        <w:t xml:space="preserve">Luego deberá ingresar fecha de constitución del Acta e ingresar en </w:t>
      </w:r>
      <w:r w:rsidR="00F24BC8">
        <w:t xml:space="preserve">detalle el programa en el sistema (más información en Manual Usuario Empresa para </w:t>
      </w:r>
      <w:proofErr w:type="spellStart"/>
      <w:r w:rsidR="00F24BC8">
        <w:t>EyCCL</w:t>
      </w:r>
      <w:proofErr w:type="spellEnd"/>
      <w:r w:rsidR="00F24BC8">
        <w:t>)</w:t>
      </w:r>
    </w:p>
    <w:p w:rsidR="009A43DD" w:rsidRDefault="009A43DD" w:rsidP="009A43DD">
      <w:pPr>
        <w:jc w:val="both"/>
      </w:pPr>
      <w:r>
        <w:t>Una vez ingresada la información, esta quedará en estado “Ingresado” y no podrá ser modificada quedando a la espera que SENCE la revise, pudiendo autorizarla o bien rechazarla.</w:t>
      </w:r>
    </w:p>
    <w:p w:rsidR="009A43DD" w:rsidRDefault="009A43DD" w:rsidP="009A43DD">
      <w:pPr>
        <w:jc w:val="both"/>
      </w:pPr>
      <w:r>
        <w:t xml:space="preserve">Solo cuando el Acta y el o los Programas sean autorizados por SENCE podrá comunicar acciones de </w:t>
      </w:r>
      <w:proofErr w:type="spellStart"/>
      <w:r>
        <w:t>EyCCL</w:t>
      </w:r>
      <w:proofErr w:type="spellEnd"/>
      <w:r>
        <w:t xml:space="preserve"> con el beneficio adicional de Comité Bipartito.</w:t>
      </w:r>
    </w:p>
    <w:p w:rsidR="00BA513C" w:rsidRDefault="00F24BC8" w:rsidP="0047079D">
      <w:pPr>
        <w:spacing w:line="240" w:lineRule="auto"/>
        <w:jc w:val="both"/>
      </w:pPr>
      <w:r>
        <w:t>En caso de</w:t>
      </w:r>
      <w:r w:rsidR="00BA513C">
        <w:t xml:space="preserve"> </w:t>
      </w:r>
      <w:r>
        <w:t>los</w:t>
      </w:r>
      <w:r w:rsidR="00BA513C">
        <w:t xml:space="preserve"> OTIC será</w:t>
      </w:r>
      <w:r>
        <w:t>n</w:t>
      </w:r>
      <w:r w:rsidR="00BA513C">
        <w:t xml:space="preserve"> </w:t>
      </w:r>
      <w:r>
        <w:t>los</w:t>
      </w:r>
      <w:r w:rsidR="00BA513C">
        <w:t xml:space="preserve"> encargado</w:t>
      </w:r>
      <w:r>
        <w:t>s</w:t>
      </w:r>
      <w:r w:rsidR="00BA513C">
        <w:t xml:space="preserve"> de presentar toda la documentación </w:t>
      </w:r>
      <w:r>
        <w:t xml:space="preserve">e ingreso a la plataforma web la cual se derivará </w:t>
      </w:r>
      <w:r>
        <w:t>para su posterior validación en SENCE</w:t>
      </w:r>
      <w:r>
        <w:t>, según el d</w:t>
      </w:r>
      <w:r w:rsidR="00BA513C">
        <w:t>omicilio de la empresa que intermedia</w:t>
      </w:r>
      <w:r>
        <w:t>.</w:t>
      </w:r>
    </w:p>
    <w:p w:rsidR="00DA4993" w:rsidRDefault="00DA4993" w:rsidP="0047079D">
      <w:pPr>
        <w:spacing w:line="240" w:lineRule="auto"/>
        <w:jc w:val="both"/>
      </w:pPr>
      <w:r>
        <w:t>N°1</w:t>
      </w:r>
      <w:r w:rsidR="00625604">
        <w:t>5</w:t>
      </w:r>
      <w:r>
        <w:tab/>
        <w:t>Junto con el programa, se deberá presentar una copia actualizada del acta de constitución del Comité Bipartito. El acta de constitución debe detallar la nómina de representantes de los trabajadores y de los suplentes en caso que existan,</w:t>
      </w:r>
      <w:r w:rsidR="00176D3A">
        <w:t xml:space="preserve"> además de los representantes de la empresa,</w:t>
      </w:r>
      <w:r>
        <w:t xml:space="preserve"> con sus respetivos números de cédula de identidad.</w:t>
      </w:r>
    </w:p>
    <w:p w:rsidR="00DA4993" w:rsidRDefault="00DA4993" w:rsidP="0047079D">
      <w:pPr>
        <w:spacing w:line="240" w:lineRule="auto"/>
        <w:jc w:val="both"/>
      </w:pPr>
      <w:r>
        <w:t>N°1</w:t>
      </w:r>
      <w:r w:rsidR="00625604">
        <w:t>6</w:t>
      </w:r>
      <w:r>
        <w:tab/>
        <w:t>El beneficio adicional establecido en el</w:t>
      </w:r>
      <w:r w:rsidR="00821D4B">
        <w:t xml:space="preserve"> inciso segundo del</w:t>
      </w:r>
      <w:r>
        <w:t xml:space="preserve"> artículo 39 de la Ley N° 19.518</w:t>
      </w:r>
      <w:r w:rsidR="00821D4B">
        <w:t xml:space="preserve"> en relación al  a</w:t>
      </w:r>
      <w:r w:rsidR="00625604">
        <w:t>rtículo 31 de la Ley 20.267</w:t>
      </w:r>
      <w:r w:rsidR="00821D4B">
        <w:t>, regirá</w:t>
      </w:r>
      <w:r>
        <w:t xml:space="preserve"> a partir del momento en que el acta y el programa se encuentren validados </w:t>
      </w:r>
      <w:r w:rsidR="00625604">
        <w:t>por</w:t>
      </w:r>
      <w:r>
        <w:t xml:space="preserve"> SENCE.</w:t>
      </w:r>
    </w:p>
    <w:p w:rsidR="00F2667A" w:rsidRDefault="00F2667A" w:rsidP="0047079D">
      <w:pPr>
        <w:spacing w:line="240" w:lineRule="auto"/>
        <w:jc w:val="both"/>
      </w:pPr>
      <w:r>
        <w:t>N°1</w:t>
      </w:r>
      <w:r w:rsidR="00935F74">
        <w:t>7</w:t>
      </w:r>
      <w:r>
        <w:tab/>
      </w:r>
      <w:r w:rsidR="001A415B">
        <w:t>Cualquier incumplimiento de</w:t>
      </w:r>
      <w:r w:rsidR="004A6595">
        <w:t xml:space="preserve"> las</w:t>
      </w:r>
      <w:r w:rsidR="001A415B">
        <w:t xml:space="preserve"> formalidades</w:t>
      </w:r>
      <w:r w:rsidR="00153AFE">
        <w:t xml:space="preserve"> contempladas en el presente instructivo, facultará al funcionario de SENCE para </w:t>
      </w:r>
      <w:r w:rsidR="004A6595">
        <w:t>R</w:t>
      </w:r>
      <w:r w:rsidR="00153AFE">
        <w:t xml:space="preserve">echazar el </w:t>
      </w:r>
      <w:r w:rsidR="004A6595">
        <w:t>P</w:t>
      </w:r>
      <w:r w:rsidR="00D123D9">
        <w:t>rograma</w:t>
      </w:r>
      <w:r w:rsidR="00153AFE">
        <w:t>.</w:t>
      </w:r>
    </w:p>
    <w:p w:rsidR="00670777" w:rsidRDefault="00670777" w:rsidP="0047079D">
      <w:pPr>
        <w:spacing w:line="240" w:lineRule="auto"/>
        <w:jc w:val="both"/>
      </w:pPr>
      <w:r>
        <w:t>N°1</w:t>
      </w:r>
      <w:r w:rsidR="00935F74">
        <w:t>8</w:t>
      </w:r>
      <w:r>
        <w:tab/>
        <w:t xml:space="preserve">En el caso de ser Rechazado, el funcionario responsable de SENCE informará a la empresa o al OTIC que presenta el Comité Bipartito, las observaciones y motivos de rechazo. </w:t>
      </w:r>
      <w:r w:rsidR="001E266A">
        <w:t>Esta comunicación se practicará</w:t>
      </w:r>
      <w:r w:rsidR="00140B2D">
        <w:t xml:space="preserve"> a través de </w:t>
      </w:r>
      <w:r w:rsidR="00F24BC8">
        <w:t>la misma plataforma web que SENCE dispuso para este procedimiento</w:t>
      </w:r>
      <w:r w:rsidR="00140B2D">
        <w:t xml:space="preserve"> o correo electrónico.</w:t>
      </w:r>
    </w:p>
    <w:p w:rsidR="00140B2D" w:rsidRDefault="00140B2D" w:rsidP="0047079D">
      <w:pPr>
        <w:spacing w:line="240" w:lineRule="auto"/>
        <w:jc w:val="both"/>
      </w:pPr>
      <w:r>
        <w:t xml:space="preserve">La empresa, ya sea en forma directa o a través de un OTIC, tendrá un nuevo plazo de presentación de diez días hábiles para </w:t>
      </w:r>
      <w:r w:rsidR="00F24BC8">
        <w:t>subir nuevamente</w:t>
      </w:r>
      <w:r>
        <w:t xml:space="preserve"> el </w:t>
      </w:r>
      <w:r w:rsidR="00D123D9">
        <w:t>programa</w:t>
      </w:r>
      <w:r>
        <w:t xml:space="preserve"> corregido </w:t>
      </w:r>
      <w:r w:rsidR="00F24BC8">
        <w:t>en la plataforma web de SENCE</w:t>
      </w:r>
      <w:r>
        <w:t>. De todas formas, la presentación de los documentos corregido</w:t>
      </w:r>
      <w:r w:rsidR="00B07940">
        <w:t>s</w:t>
      </w:r>
      <w:r>
        <w:t xml:space="preserve"> se deberá realizar con anterioridad al inicio de las evaluaciones</w:t>
      </w:r>
      <w:r w:rsidR="00097760">
        <w:t xml:space="preserve"> que se acogerán al beneficio adicional. Si las evaluaciones comenzaran antes de la aprobación del programa, no serán bonificados con el 20% extra del gasto imputable.</w:t>
      </w:r>
    </w:p>
    <w:p w:rsidR="00141459" w:rsidRDefault="00141459">
      <w:r>
        <w:br w:type="page"/>
      </w:r>
    </w:p>
    <w:p w:rsidR="00141459" w:rsidRPr="00141459" w:rsidRDefault="00141459" w:rsidP="0047079D">
      <w:pPr>
        <w:spacing w:line="240" w:lineRule="auto"/>
        <w:jc w:val="both"/>
        <w:rPr>
          <w:b/>
        </w:rPr>
      </w:pPr>
      <w:r w:rsidRPr="00141459">
        <w:rPr>
          <w:b/>
        </w:rPr>
        <w:lastRenderedPageBreak/>
        <w:t xml:space="preserve">C) </w:t>
      </w:r>
      <w:proofErr w:type="spellStart"/>
      <w:r w:rsidRPr="00141459">
        <w:rPr>
          <w:b/>
        </w:rPr>
        <w:t>Check</w:t>
      </w:r>
      <w:proofErr w:type="spellEnd"/>
      <w:r w:rsidRPr="00141459">
        <w:rPr>
          <w:b/>
        </w:rPr>
        <w:t xml:space="preserve"> </w:t>
      </w:r>
      <w:proofErr w:type="spellStart"/>
      <w:r w:rsidRPr="00141459">
        <w:rPr>
          <w:b/>
        </w:rPr>
        <w:t>List</w:t>
      </w:r>
      <w:proofErr w:type="spellEnd"/>
      <w:r w:rsidRPr="00141459">
        <w:rPr>
          <w:b/>
        </w:rPr>
        <w:t xml:space="preserve"> de revisión de Programas de Evaluación CCL</w:t>
      </w:r>
    </w:p>
    <w:p w:rsidR="006652F2" w:rsidRDefault="00141459" w:rsidP="00835293">
      <w:pPr>
        <w:spacing w:line="240" w:lineRule="auto"/>
        <w:jc w:val="both"/>
      </w:pPr>
      <w:r>
        <w:t xml:space="preserve">A continuación se presenta un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para facilitar la revisión de la documentación en las Direcciones Regionales y Nivel Central</w:t>
      </w:r>
      <w:r w:rsidR="006652F2">
        <w:t>.</w:t>
      </w:r>
    </w:p>
    <w:p w:rsidR="006652F2" w:rsidRDefault="006652F2" w:rsidP="00EB462A">
      <w:pPr>
        <w:spacing w:line="240" w:lineRule="auto"/>
        <w:jc w:val="center"/>
      </w:pPr>
      <w:r w:rsidRPr="006652F2">
        <w:drawing>
          <wp:inline distT="0" distB="0" distL="0" distR="0">
            <wp:extent cx="5565140" cy="69526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2A" w:rsidRDefault="00EB462A" w:rsidP="009B5AD0">
      <w:pPr>
        <w:sectPr w:rsidR="00EB462A" w:rsidSect="006652F2">
          <w:headerReference w:type="default" r:id="rId8"/>
          <w:pgSz w:w="12240" w:h="15840"/>
          <w:pgMar w:top="1417" w:right="1418" w:bottom="1417" w:left="1701" w:header="708" w:footer="708" w:gutter="0"/>
          <w:cols w:space="708"/>
          <w:docGrid w:linePitch="360"/>
        </w:sectPr>
      </w:pPr>
    </w:p>
    <w:p w:rsidR="009B5AD0" w:rsidRDefault="00EB462A" w:rsidP="009B5AD0">
      <w:pPr>
        <w:sectPr w:rsidR="009B5AD0" w:rsidSect="00EB462A">
          <w:pgSz w:w="15840" w:h="12240" w:orient="landscape"/>
          <w:pgMar w:top="1701" w:right="1418" w:bottom="1418" w:left="1418" w:header="709" w:footer="709" w:gutter="0"/>
          <w:cols w:space="708"/>
          <w:docGrid w:linePitch="360"/>
        </w:sectPr>
      </w:pPr>
      <w:r w:rsidRPr="00EB462A">
        <w:lastRenderedPageBreak/>
        <w:drawing>
          <wp:inline distT="0" distB="0" distL="0" distR="0">
            <wp:extent cx="8256557" cy="60596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933" cy="60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D0" w:rsidRDefault="00972A5B" w:rsidP="009B5AD0">
      <w:r w:rsidRPr="00972A5B">
        <w:lastRenderedPageBreak/>
        <w:drawing>
          <wp:inline distT="0" distB="0" distL="0" distR="0">
            <wp:extent cx="8258810" cy="6124855"/>
            <wp:effectExtent l="0" t="0" r="889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1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5B" w:rsidRDefault="00972A5B" w:rsidP="009B5AD0"/>
    <w:p w:rsidR="009B5AD0" w:rsidRPr="00E73DEB" w:rsidRDefault="00972A5B" w:rsidP="009B5AD0">
      <w:r w:rsidRPr="00972A5B">
        <w:drawing>
          <wp:inline distT="0" distB="0" distL="0" distR="0">
            <wp:extent cx="8258810" cy="397803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97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AD0" w:rsidRPr="00E73DEB" w:rsidSect="009B5A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0C" w:rsidRDefault="0067050C" w:rsidP="000B5EE2">
      <w:pPr>
        <w:spacing w:after="0" w:line="240" w:lineRule="auto"/>
      </w:pPr>
      <w:r>
        <w:separator/>
      </w:r>
    </w:p>
  </w:endnote>
  <w:endnote w:type="continuationSeparator" w:id="0">
    <w:p w:rsidR="0067050C" w:rsidRDefault="0067050C" w:rsidP="000B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0C" w:rsidRDefault="0067050C" w:rsidP="000B5EE2">
      <w:pPr>
        <w:spacing w:after="0" w:line="240" w:lineRule="auto"/>
      </w:pPr>
      <w:r>
        <w:separator/>
      </w:r>
    </w:p>
  </w:footnote>
  <w:footnote w:type="continuationSeparator" w:id="0">
    <w:p w:rsidR="0067050C" w:rsidRDefault="0067050C" w:rsidP="000B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E2" w:rsidRDefault="00EB462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4171789</wp:posOffset>
          </wp:positionH>
          <wp:positionV relativeFrom="paragraph">
            <wp:posOffset>7620</wp:posOffset>
          </wp:positionV>
          <wp:extent cx="1621790" cy="414655"/>
          <wp:effectExtent l="0" t="0" r="0" b="4445"/>
          <wp:wrapThrough wrapText="bothSides">
            <wp:wrapPolygon edited="0">
              <wp:start x="9641" y="0"/>
              <wp:lineTo x="0" y="7939"/>
              <wp:lineTo x="0" y="19847"/>
              <wp:lineTo x="9134" y="20839"/>
              <wp:lineTo x="11164" y="20839"/>
              <wp:lineTo x="21312" y="19847"/>
              <wp:lineTo x="21312" y="6946"/>
              <wp:lineTo x="10656" y="0"/>
              <wp:lineTo x="9641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EE2">
      <w:rPr>
        <w:noProof/>
        <w:lang w:eastAsia="es-CL"/>
      </w:rPr>
      <w:drawing>
        <wp:inline distT="0" distB="0" distL="0" distR="0" wp14:anchorId="1DA9EDD4" wp14:editId="1B159FF5">
          <wp:extent cx="723900" cy="658091"/>
          <wp:effectExtent l="0" t="0" r="0" b="8890"/>
          <wp:docPr id="8" name="1 Imagen" descr="LOGO PARA FORMULARIOS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PARA FORMULARIOS GRAND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979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2" w:rsidRDefault="000B5E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569"/>
    <w:multiLevelType w:val="hybridMultilevel"/>
    <w:tmpl w:val="425657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C2"/>
    <w:rsid w:val="00002C20"/>
    <w:rsid w:val="00003A0F"/>
    <w:rsid w:val="00075A1C"/>
    <w:rsid w:val="00097760"/>
    <w:rsid w:val="000B5EE2"/>
    <w:rsid w:val="000D4475"/>
    <w:rsid w:val="001221DB"/>
    <w:rsid w:val="001346E2"/>
    <w:rsid w:val="00140B2D"/>
    <w:rsid w:val="00141459"/>
    <w:rsid w:val="00146B50"/>
    <w:rsid w:val="00146D28"/>
    <w:rsid w:val="001474AE"/>
    <w:rsid w:val="00153AFE"/>
    <w:rsid w:val="00176D3A"/>
    <w:rsid w:val="00191B9C"/>
    <w:rsid w:val="001A415B"/>
    <w:rsid w:val="001E266A"/>
    <w:rsid w:val="00213521"/>
    <w:rsid w:val="00283C95"/>
    <w:rsid w:val="00297DCF"/>
    <w:rsid w:val="002D3E27"/>
    <w:rsid w:val="00316C34"/>
    <w:rsid w:val="003D6F6B"/>
    <w:rsid w:val="004138E8"/>
    <w:rsid w:val="0047079D"/>
    <w:rsid w:val="00470C93"/>
    <w:rsid w:val="004A4679"/>
    <w:rsid w:val="004A6595"/>
    <w:rsid w:val="004C7D04"/>
    <w:rsid w:val="005049E4"/>
    <w:rsid w:val="00521306"/>
    <w:rsid w:val="00521581"/>
    <w:rsid w:val="005233BC"/>
    <w:rsid w:val="0058677A"/>
    <w:rsid w:val="00590FA5"/>
    <w:rsid w:val="005948D3"/>
    <w:rsid w:val="005D1ED3"/>
    <w:rsid w:val="006049F8"/>
    <w:rsid w:val="00616846"/>
    <w:rsid w:val="00625604"/>
    <w:rsid w:val="006652F2"/>
    <w:rsid w:val="0067050C"/>
    <w:rsid w:val="00670777"/>
    <w:rsid w:val="00676297"/>
    <w:rsid w:val="0068342D"/>
    <w:rsid w:val="006F03FC"/>
    <w:rsid w:val="00746DD0"/>
    <w:rsid w:val="00752AE1"/>
    <w:rsid w:val="00765901"/>
    <w:rsid w:val="007E61AA"/>
    <w:rsid w:val="007E74E8"/>
    <w:rsid w:val="00821D4B"/>
    <w:rsid w:val="00835293"/>
    <w:rsid w:val="008A5ECB"/>
    <w:rsid w:val="008D25CC"/>
    <w:rsid w:val="008F2669"/>
    <w:rsid w:val="00935F74"/>
    <w:rsid w:val="00972A5B"/>
    <w:rsid w:val="00973341"/>
    <w:rsid w:val="009751A0"/>
    <w:rsid w:val="009949E3"/>
    <w:rsid w:val="009A43DD"/>
    <w:rsid w:val="009B5AD0"/>
    <w:rsid w:val="009D4F1A"/>
    <w:rsid w:val="009D703D"/>
    <w:rsid w:val="00A0190B"/>
    <w:rsid w:val="00A13C7C"/>
    <w:rsid w:val="00A50424"/>
    <w:rsid w:val="00A9152E"/>
    <w:rsid w:val="00B07940"/>
    <w:rsid w:val="00BA4230"/>
    <w:rsid w:val="00BA513C"/>
    <w:rsid w:val="00BB6D53"/>
    <w:rsid w:val="00C267C2"/>
    <w:rsid w:val="00CD0797"/>
    <w:rsid w:val="00CF0D47"/>
    <w:rsid w:val="00D123D9"/>
    <w:rsid w:val="00D2038F"/>
    <w:rsid w:val="00D72CE6"/>
    <w:rsid w:val="00DA4993"/>
    <w:rsid w:val="00DF6755"/>
    <w:rsid w:val="00E035DD"/>
    <w:rsid w:val="00E73DEB"/>
    <w:rsid w:val="00E919B4"/>
    <w:rsid w:val="00E93ED5"/>
    <w:rsid w:val="00EB462A"/>
    <w:rsid w:val="00EF3112"/>
    <w:rsid w:val="00F24BC8"/>
    <w:rsid w:val="00F2667A"/>
    <w:rsid w:val="00F52A24"/>
    <w:rsid w:val="00F5564A"/>
    <w:rsid w:val="00F55AFF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F81CC6-CD10-48D1-AFD9-5E8F2C7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EE2"/>
  </w:style>
  <w:style w:type="paragraph" w:styleId="Piedepgina">
    <w:name w:val="footer"/>
    <w:basedOn w:val="Normal"/>
    <w:link w:val="PiedepginaCar"/>
    <w:uiPriority w:val="99"/>
    <w:unhideWhenUsed/>
    <w:rsid w:val="000B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EE2"/>
  </w:style>
  <w:style w:type="paragraph" w:styleId="Textodeglobo">
    <w:name w:val="Balloon Text"/>
    <w:basedOn w:val="Normal"/>
    <w:link w:val="TextodegloboCar"/>
    <w:uiPriority w:val="99"/>
    <w:semiHidden/>
    <w:unhideWhenUsed/>
    <w:rsid w:val="000B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Olivia Pinto Diaz</dc:creator>
  <cp:lastModifiedBy>Maria Olivia Pinto Diaz</cp:lastModifiedBy>
  <cp:revision>12</cp:revision>
  <cp:lastPrinted>2013-09-24T15:28:00Z</cp:lastPrinted>
  <dcterms:created xsi:type="dcterms:W3CDTF">2013-06-21T14:27:00Z</dcterms:created>
  <dcterms:modified xsi:type="dcterms:W3CDTF">2017-06-06T17:26:00Z</dcterms:modified>
</cp:coreProperties>
</file>